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27403" w14:textId="77777777" w:rsidR="000C3848" w:rsidRPr="000C3848" w:rsidRDefault="000C3848" w:rsidP="008B793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I"/>
          <w14:ligatures w14:val="none"/>
        </w:rPr>
      </w:pPr>
      <w:r w:rsidRPr="000C38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I"/>
          <w14:ligatures w14:val="none"/>
        </w:rPr>
        <w:t>IHBI — ÉVOLUTION DES TAUX DE RÉUSSITE AU BTS</w:t>
      </w:r>
    </w:p>
    <w:p w14:paraId="0C0997D2" w14:textId="77777777" w:rsidR="000C3848" w:rsidRPr="000C3848" w:rsidRDefault="000C3848" w:rsidP="000C38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0C384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>Période académique 2006-2007 à 2024-2025</w:t>
      </w:r>
    </w:p>
    <w:p w14:paraId="67120929" w14:textId="77777777" w:rsidR="000C3848" w:rsidRPr="000C3848" w:rsidRDefault="000C3848" w:rsidP="000C3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Dans le cadre du suivi de la performance académique de ses étudiants, </w:t>
      </w:r>
      <w:r w:rsidRPr="000C3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International High Business Institute (IHBI)</w:t>
      </w: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présente ci-dessous l’évolution de ses taux de réussite au BTS sur plusieurs années académiques, comparée aux taux nationaux disponibles.</w:t>
      </w:r>
    </w:p>
    <w:p w14:paraId="39F65ABD" w14:textId="77777777" w:rsidR="000C3848" w:rsidRPr="000C3848" w:rsidRDefault="000C3848" w:rsidP="000C3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Cette présentation permet de mettre en évidence les efforts constants de l’établissement en matière d’encadrement pédagogique, de suivi des étudiants, de professionnalisation de la formation et d’amélioration continue des résultats.</w:t>
      </w:r>
    </w:p>
    <w:p w14:paraId="7E8D610A" w14:textId="10D0ADDA" w:rsidR="0062439C" w:rsidRPr="000C3848" w:rsidRDefault="000C3848" w:rsidP="000C38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0C384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>Tableau comparatif des taux de réussite au BTS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5"/>
        <w:gridCol w:w="2334"/>
        <w:gridCol w:w="1549"/>
      </w:tblGrid>
      <w:tr w:rsidR="000C3848" w:rsidRPr="000C3848" w14:paraId="7880F6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E683EB" w14:textId="75EA5A33" w:rsidR="000C3848" w:rsidRPr="000C3848" w:rsidRDefault="000C3848" w:rsidP="000C3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CI"/>
                <w14:ligatures w14:val="none"/>
              </w:rPr>
              <w:t>Année académique</w:t>
            </w:r>
            <w:r w:rsidR="00277C6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CI"/>
                <w14:ligatures w14:val="none"/>
              </w:rPr>
              <w:t xml:space="preserve">       </w:t>
            </w:r>
          </w:p>
        </w:tc>
        <w:tc>
          <w:tcPr>
            <w:tcW w:w="0" w:type="auto"/>
            <w:vAlign w:val="center"/>
            <w:hideMark/>
          </w:tcPr>
          <w:p w14:paraId="755F9C85" w14:textId="77777777" w:rsidR="000C3848" w:rsidRPr="000C3848" w:rsidRDefault="000C3848" w:rsidP="000C3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CI"/>
                <w14:ligatures w14:val="none"/>
              </w:rPr>
              <w:t>Taux de réussite IHBI</w:t>
            </w:r>
          </w:p>
        </w:tc>
        <w:tc>
          <w:tcPr>
            <w:tcW w:w="0" w:type="auto"/>
            <w:vAlign w:val="center"/>
            <w:hideMark/>
          </w:tcPr>
          <w:p w14:paraId="70048576" w14:textId="77777777" w:rsidR="000C3848" w:rsidRPr="000C3848" w:rsidRDefault="000C3848" w:rsidP="000C3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CI"/>
                <w14:ligatures w14:val="none"/>
              </w:rPr>
              <w:t>Taux national</w:t>
            </w:r>
          </w:p>
        </w:tc>
      </w:tr>
      <w:tr w:rsidR="000C3848" w:rsidRPr="000C3848" w14:paraId="4513A6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7C94D8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2006 - 2007</w:t>
            </w:r>
          </w:p>
        </w:tc>
        <w:tc>
          <w:tcPr>
            <w:tcW w:w="0" w:type="auto"/>
            <w:vAlign w:val="center"/>
            <w:hideMark/>
          </w:tcPr>
          <w:p w14:paraId="7466D2F2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61,54 %</w:t>
            </w:r>
          </w:p>
        </w:tc>
        <w:tc>
          <w:tcPr>
            <w:tcW w:w="0" w:type="auto"/>
            <w:vAlign w:val="center"/>
            <w:hideMark/>
          </w:tcPr>
          <w:p w14:paraId="27B77BC3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Non disponible</w:t>
            </w:r>
          </w:p>
        </w:tc>
      </w:tr>
      <w:tr w:rsidR="000C3848" w:rsidRPr="000C3848" w14:paraId="687035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E3B0F6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2007 - 2008</w:t>
            </w:r>
          </w:p>
        </w:tc>
        <w:tc>
          <w:tcPr>
            <w:tcW w:w="0" w:type="auto"/>
            <w:vAlign w:val="center"/>
            <w:hideMark/>
          </w:tcPr>
          <w:p w14:paraId="4308844A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21,74 %</w:t>
            </w:r>
          </w:p>
        </w:tc>
        <w:tc>
          <w:tcPr>
            <w:tcW w:w="0" w:type="auto"/>
            <w:vAlign w:val="center"/>
            <w:hideMark/>
          </w:tcPr>
          <w:p w14:paraId="38C7EA31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20,47 %</w:t>
            </w:r>
          </w:p>
        </w:tc>
      </w:tr>
      <w:tr w:rsidR="000C3848" w:rsidRPr="000C3848" w14:paraId="4E49A4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BEE926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2008 - 2009</w:t>
            </w:r>
          </w:p>
        </w:tc>
        <w:tc>
          <w:tcPr>
            <w:tcW w:w="0" w:type="auto"/>
            <w:vAlign w:val="center"/>
            <w:hideMark/>
          </w:tcPr>
          <w:p w14:paraId="3E031A04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53,84 %</w:t>
            </w:r>
          </w:p>
        </w:tc>
        <w:tc>
          <w:tcPr>
            <w:tcW w:w="0" w:type="auto"/>
            <w:vAlign w:val="center"/>
            <w:hideMark/>
          </w:tcPr>
          <w:p w14:paraId="1809E2AC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35,93 %</w:t>
            </w:r>
          </w:p>
        </w:tc>
      </w:tr>
      <w:tr w:rsidR="000C3848" w:rsidRPr="000C3848" w14:paraId="60EA09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367996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2009 - 2010</w:t>
            </w:r>
          </w:p>
        </w:tc>
        <w:tc>
          <w:tcPr>
            <w:tcW w:w="0" w:type="auto"/>
            <w:vAlign w:val="center"/>
            <w:hideMark/>
          </w:tcPr>
          <w:p w14:paraId="16E356F9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54,00 %</w:t>
            </w:r>
          </w:p>
        </w:tc>
        <w:tc>
          <w:tcPr>
            <w:tcW w:w="0" w:type="auto"/>
            <w:vAlign w:val="center"/>
            <w:hideMark/>
          </w:tcPr>
          <w:p w14:paraId="2A8C3C17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36,80 %</w:t>
            </w:r>
          </w:p>
        </w:tc>
      </w:tr>
      <w:tr w:rsidR="000C3848" w:rsidRPr="000C3848" w14:paraId="31EA20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7E810F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2010 - 2011</w:t>
            </w:r>
          </w:p>
        </w:tc>
        <w:tc>
          <w:tcPr>
            <w:tcW w:w="0" w:type="auto"/>
            <w:vAlign w:val="center"/>
            <w:hideMark/>
          </w:tcPr>
          <w:p w14:paraId="4929CD74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58,62 %</w:t>
            </w:r>
          </w:p>
        </w:tc>
        <w:tc>
          <w:tcPr>
            <w:tcW w:w="0" w:type="auto"/>
            <w:vAlign w:val="center"/>
            <w:hideMark/>
          </w:tcPr>
          <w:p w14:paraId="63BBAD09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39,24 %</w:t>
            </w:r>
          </w:p>
        </w:tc>
      </w:tr>
      <w:tr w:rsidR="000C3848" w:rsidRPr="000C3848" w14:paraId="4E52E1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F01C89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2011 - 2012</w:t>
            </w:r>
          </w:p>
        </w:tc>
        <w:tc>
          <w:tcPr>
            <w:tcW w:w="0" w:type="auto"/>
            <w:vAlign w:val="center"/>
            <w:hideMark/>
          </w:tcPr>
          <w:p w14:paraId="7F83A701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36,00 %</w:t>
            </w:r>
          </w:p>
        </w:tc>
        <w:tc>
          <w:tcPr>
            <w:tcW w:w="0" w:type="auto"/>
            <w:vAlign w:val="center"/>
            <w:hideMark/>
          </w:tcPr>
          <w:p w14:paraId="78AADFA6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40,73 %</w:t>
            </w:r>
          </w:p>
        </w:tc>
      </w:tr>
      <w:tr w:rsidR="000C3848" w:rsidRPr="000C3848" w14:paraId="7BFABE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92C81C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2012 - 2013</w:t>
            </w:r>
          </w:p>
        </w:tc>
        <w:tc>
          <w:tcPr>
            <w:tcW w:w="0" w:type="auto"/>
            <w:vAlign w:val="center"/>
            <w:hideMark/>
          </w:tcPr>
          <w:p w14:paraId="0613CB51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67,85 %</w:t>
            </w:r>
          </w:p>
        </w:tc>
        <w:tc>
          <w:tcPr>
            <w:tcW w:w="0" w:type="auto"/>
            <w:vAlign w:val="center"/>
            <w:hideMark/>
          </w:tcPr>
          <w:p w14:paraId="406BA08B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54,78 %</w:t>
            </w:r>
          </w:p>
        </w:tc>
      </w:tr>
      <w:tr w:rsidR="000C3848" w:rsidRPr="000C3848" w14:paraId="240CE6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6086B8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2014 - 2015</w:t>
            </w:r>
          </w:p>
        </w:tc>
        <w:tc>
          <w:tcPr>
            <w:tcW w:w="0" w:type="auto"/>
            <w:vAlign w:val="center"/>
            <w:hideMark/>
          </w:tcPr>
          <w:p w14:paraId="5B1D1DFA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64,34 %</w:t>
            </w:r>
          </w:p>
        </w:tc>
        <w:tc>
          <w:tcPr>
            <w:tcW w:w="0" w:type="auto"/>
            <w:vAlign w:val="center"/>
            <w:hideMark/>
          </w:tcPr>
          <w:p w14:paraId="0713F78F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25,77 %</w:t>
            </w:r>
          </w:p>
        </w:tc>
      </w:tr>
      <w:tr w:rsidR="000C3848" w:rsidRPr="000C3848" w14:paraId="2FD4DA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F241F1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2015 - 2016</w:t>
            </w:r>
          </w:p>
        </w:tc>
        <w:tc>
          <w:tcPr>
            <w:tcW w:w="0" w:type="auto"/>
            <w:vAlign w:val="center"/>
            <w:hideMark/>
          </w:tcPr>
          <w:p w14:paraId="71D884CD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41,00 %</w:t>
            </w:r>
          </w:p>
        </w:tc>
        <w:tc>
          <w:tcPr>
            <w:tcW w:w="0" w:type="auto"/>
            <w:vAlign w:val="center"/>
            <w:hideMark/>
          </w:tcPr>
          <w:p w14:paraId="1A6BACE7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58,67 %</w:t>
            </w:r>
          </w:p>
        </w:tc>
      </w:tr>
      <w:tr w:rsidR="000C3848" w:rsidRPr="000C3848" w14:paraId="16E454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C6D71F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2016 - 2017</w:t>
            </w:r>
          </w:p>
        </w:tc>
        <w:tc>
          <w:tcPr>
            <w:tcW w:w="0" w:type="auto"/>
            <w:vAlign w:val="center"/>
            <w:hideMark/>
          </w:tcPr>
          <w:p w14:paraId="4E37875E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64,00 %</w:t>
            </w:r>
          </w:p>
        </w:tc>
        <w:tc>
          <w:tcPr>
            <w:tcW w:w="0" w:type="auto"/>
            <w:vAlign w:val="center"/>
            <w:hideMark/>
          </w:tcPr>
          <w:p w14:paraId="43510973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70,51 %</w:t>
            </w:r>
          </w:p>
        </w:tc>
      </w:tr>
      <w:tr w:rsidR="000C3848" w:rsidRPr="000C3848" w14:paraId="11B48E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8F3B6A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2017 - 2018</w:t>
            </w:r>
          </w:p>
        </w:tc>
        <w:tc>
          <w:tcPr>
            <w:tcW w:w="0" w:type="auto"/>
            <w:vAlign w:val="center"/>
            <w:hideMark/>
          </w:tcPr>
          <w:p w14:paraId="21E741AD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80,00 %</w:t>
            </w:r>
          </w:p>
        </w:tc>
        <w:tc>
          <w:tcPr>
            <w:tcW w:w="0" w:type="auto"/>
            <w:vAlign w:val="center"/>
            <w:hideMark/>
          </w:tcPr>
          <w:p w14:paraId="3FCF6077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57,00 %</w:t>
            </w:r>
          </w:p>
        </w:tc>
      </w:tr>
      <w:tr w:rsidR="000C3848" w:rsidRPr="000C3848" w14:paraId="060341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BEF8C3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2018 - 2019</w:t>
            </w:r>
          </w:p>
        </w:tc>
        <w:tc>
          <w:tcPr>
            <w:tcW w:w="0" w:type="auto"/>
            <w:vAlign w:val="center"/>
            <w:hideMark/>
          </w:tcPr>
          <w:p w14:paraId="775A3551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75,71 %</w:t>
            </w:r>
          </w:p>
        </w:tc>
        <w:tc>
          <w:tcPr>
            <w:tcW w:w="0" w:type="auto"/>
            <w:vAlign w:val="center"/>
            <w:hideMark/>
          </w:tcPr>
          <w:p w14:paraId="5ABC5484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58,70 %</w:t>
            </w:r>
          </w:p>
        </w:tc>
      </w:tr>
      <w:tr w:rsidR="000C3848" w:rsidRPr="000C3848" w14:paraId="303729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067DCB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2019 - 2020</w:t>
            </w:r>
          </w:p>
        </w:tc>
        <w:tc>
          <w:tcPr>
            <w:tcW w:w="0" w:type="auto"/>
            <w:vAlign w:val="center"/>
            <w:hideMark/>
          </w:tcPr>
          <w:p w14:paraId="02149F27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64,10 %</w:t>
            </w:r>
          </w:p>
        </w:tc>
        <w:tc>
          <w:tcPr>
            <w:tcW w:w="0" w:type="auto"/>
            <w:vAlign w:val="center"/>
            <w:hideMark/>
          </w:tcPr>
          <w:p w14:paraId="6C2A5CCE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52,30 %</w:t>
            </w:r>
          </w:p>
        </w:tc>
      </w:tr>
      <w:tr w:rsidR="000C3848" w:rsidRPr="000C3848" w14:paraId="537183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3361C3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2020 - 2021</w:t>
            </w:r>
          </w:p>
        </w:tc>
        <w:tc>
          <w:tcPr>
            <w:tcW w:w="0" w:type="auto"/>
            <w:vAlign w:val="center"/>
            <w:hideMark/>
          </w:tcPr>
          <w:p w14:paraId="013A5B72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64,09 %</w:t>
            </w:r>
          </w:p>
        </w:tc>
        <w:tc>
          <w:tcPr>
            <w:tcW w:w="0" w:type="auto"/>
            <w:vAlign w:val="center"/>
            <w:hideMark/>
          </w:tcPr>
          <w:p w14:paraId="36D2E394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46,80 %</w:t>
            </w:r>
          </w:p>
        </w:tc>
      </w:tr>
      <w:tr w:rsidR="000C3848" w:rsidRPr="000C3848" w14:paraId="2CFDF7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C7F54C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2021 - 2022</w:t>
            </w:r>
          </w:p>
        </w:tc>
        <w:tc>
          <w:tcPr>
            <w:tcW w:w="0" w:type="auto"/>
            <w:vAlign w:val="center"/>
            <w:hideMark/>
          </w:tcPr>
          <w:p w14:paraId="461A3EE6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65,41 %</w:t>
            </w:r>
          </w:p>
        </w:tc>
        <w:tc>
          <w:tcPr>
            <w:tcW w:w="0" w:type="auto"/>
            <w:vAlign w:val="center"/>
            <w:hideMark/>
          </w:tcPr>
          <w:p w14:paraId="77EBD2AC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46,05 %</w:t>
            </w:r>
          </w:p>
        </w:tc>
      </w:tr>
      <w:tr w:rsidR="000C3848" w:rsidRPr="000C3848" w14:paraId="52A862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0D2D24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2022 - 2023</w:t>
            </w:r>
          </w:p>
        </w:tc>
        <w:tc>
          <w:tcPr>
            <w:tcW w:w="0" w:type="auto"/>
            <w:vAlign w:val="center"/>
            <w:hideMark/>
          </w:tcPr>
          <w:p w14:paraId="62897BAB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47,26 %</w:t>
            </w:r>
          </w:p>
        </w:tc>
        <w:tc>
          <w:tcPr>
            <w:tcW w:w="0" w:type="auto"/>
            <w:vAlign w:val="center"/>
            <w:hideMark/>
          </w:tcPr>
          <w:p w14:paraId="4F5A34CC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40,97 %</w:t>
            </w:r>
          </w:p>
        </w:tc>
      </w:tr>
      <w:tr w:rsidR="000C3848" w:rsidRPr="000C3848" w14:paraId="0639D3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DBAEC0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2023 - 2024</w:t>
            </w:r>
          </w:p>
        </w:tc>
        <w:tc>
          <w:tcPr>
            <w:tcW w:w="0" w:type="auto"/>
            <w:vAlign w:val="center"/>
            <w:hideMark/>
          </w:tcPr>
          <w:p w14:paraId="26CBB872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53,09 %</w:t>
            </w:r>
          </w:p>
        </w:tc>
        <w:tc>
          <w:tcPr>
            <w:tcW w:w="0" w:type="auto"/>
            <w:vAlign w:val="center"/>
            <w:hideMark/>
          </w:tcPr>
          <w:p w14:paraId="706FA5D5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38,39 %</w:t>
            </w:r>
          </w:p>
        </w:tc>
      </w:tr>
      <w:tr w:rsidR="000C3848" w:rsidRPr="000C3848" w14:paraId="583657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8580AC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2024 - 2025</w:t>
            </w:r>
          </w:p>
        </w:tc>
        <w:tc>
          <w:tcPr>
            <w:tcW w:w="0" w:type="auto"/>
            <w:vAlign w:val="center"/>
            <w:hideMark/>
          </w:tcPr>
          <w:p w14:paraId="63A62D6F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52,53 %</w:t>
            </w:r>
          </w:p>
        </w:tc>
        <w:tc>
          <w:tcPr>
            <w:tcW w:w="0" w:type="auto"/>
            <w:vAlign w:val="center"/>
            <w:hideMark/>
          </w:tcPr>
          <w:p w14:paraId="7929EB57" w14:textId="77777777" w:rsidR="000C3848" w:rsidRPr="000C3848" w:rsidRDefault="000C3848" w:rsidP="00277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</w:pPr>
            <w:r w:rsidRPr="000C38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I"/>
                <w14:ligatures w14:val="none"/>
              </w:rPr>
              <w:t>40,48 %</w:t>
            </w:r>
          </w:p>
        </w:tc>
      </w:tr>
    </w:tbl>
    <w:p w14:paraId="37CD5CA3" w14:textId="77777777" w:rsidR="000C3848" w:rsidRPr="000C3848" w:rsidRDefault="000C3848" w:rsidP="000C38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0C384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>Analyse synthétique</w:t>
      </w:r>
    </w:p>
    <w:p w14:paraId="5C67B12E" w14:textId="77777777" w:rsidR="000C3848" w:rsidRPr="000C3848" w:rsidRDefault="000C3848" w:rsidP="000C3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L’analyse des résultats montre que </w:t>
      </w:r>
      <w:r w:rsidRPr="000C3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IHBI a régulièrement enregistré des performances supérieures au taux national</w:t>
      </w: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, notamment au cours des années académiques </w:t>
      </w:r>
      <w:r w:rsidRPr="000C3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2008-2009</w:t>
      </w: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, </w:t>
      </w:r>
      <w:r w:rsidRPr="000C3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2009-2010</w:t>
      </w: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, </w:t>
      </w:r>
      <w:r w:rsidRPr="000C3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2010-2011</w:t>
      </w: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, </w:t>
      </w:r>
      <w:r w:rsidRPr="000C3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2012-2013</w:t>
      </w: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, </w:t>
      </w:r>
      <w:r w:rsidRPr="000C3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2014-2015</w:t>
      </w: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, </w:t>
      </w:r>
      <w:r w:rsidRPr="000C3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2017-2018</w:t>
      </w: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, </w:t>
      </w:r>
      <w:r w:rsidRPr="000C3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2018-2019</w:t>
      </w: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, </w:t>
      </w:r>
      <w:r w:rsidRPr="000C3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2019-2020</w:t>
      </w: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, </w:t>
      </w:r>
      <w:r w:rsidRPr="000C3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2020-2021</w:t>
      </w: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, </w:t>
      </w:r>
      <w:r w:rsidRPr="000C3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2021-2022</w:t>
      </w: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, </w:t>
      </w:r>
      <w:r w:rsidRPr="000C3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2022-2023</w:t>
      </w: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, </w:t>
      </w:r>
      <w:r w:rsidRPr="000C3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2023-2024</w:t>
      </w: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et </w:t>
      </w:r>
      <w:r w:rsidRPr="000C3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2024-2025</w:t>
      </w: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.</w:t>
      </w:r>
    </w:p>
    <w:p w14:paraId="110514FE" w14:textId="77777777" w:rsidR="000C3848" w:rsidRPr="000C3848" w:rsidRDefault="000C3848" w:rsidP="000C3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Ces résultats traduisent l’engagement de l’établissement en faveur d’un encadrement pédagogique rigoureux, d’un suivi régulier des étudiants et d’une formation orientée vers la réussite académique et l’insertion professionnelle.</w:t>
      </w:r>
    </w:p>
    <w:p w14:paraId="0B03219A" w14:textId="77777777" w:rsidR="000C3848" w:rsidRPr="000C3848" w:rsidRDefault="000C3848" w:rsidP="000C3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lastRenderedPageBreak/>
        <w:t xml:space="preserve">La performance remarquable de l’année académique </w:t>
      </w:r>
      <w:r w:rsidRPr="000C3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2017-2018</w:t>
      </w: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, avec un taux de réussite de </w:t>
      </w:r>
      <w:r w:rsidRPr="000C3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80,00 %</w:t>
      </w: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, constitue l’un des meilleurs résultats enregistrés sur la période étudiée. De même, les taux de </w:t>
      </w:r>
      <w:r w:rsidRPr="000C3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75,71 % en 2018-2019</w:t>
      </w: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, </w:t>
      </w:r>
      <w:r w:rsidRPr="000C3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67,85 % en 2012-2013</w:t>
      </w: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et </w:t>
      </w:r>
      <w:r w:rsidRPr="000C3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65,41 % en 2021-2022</w:t>
      </w: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confirment la capacité de IHBI à maintenir un bon niveau de performance.</w:t>
      </w:r>
    </w:p>
    <w:p w14:paraId="122CD5CF" w14:textId="77777777" w:rsidR="000C3848" w:rsidRPr="000C3848" w:rsidRDefault="000C3848" w:rsidP="000C3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Sur les dernières années, malgré un contexte national marqué par des taux de réussite plus modérés, IHBI continue de se maintenir au-dessus de la moyenne nationale. En </w:t>
      </w:r>
      <w:r w:rsidRPr="000C3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2024-2025</w:t>
      </w: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, l’établissement enregistre un taux de réussite de </w:t>
      </w:r>
      <w:r w:rsidRPr="000C3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52,53 %</w:t>
      </w: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, contre </w:t>
      </w:r>
      <w:r w:rsidRPr="000C3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40,48 %</w:t>
      </w: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au niveau national.</w:t>
      </w:r>
    </w:p>
    <w:p w14:paraId="5D1316E7" w14:textId="77777777" w:rsidR="000C3848" w:rsidRPr="000C3848" w:rsidRDefault="000C3848" w:rsidP="000C38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</w:pPr>
      <w:r w:rsidRPr="000C384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I"/>
          <w14:ligatures w14:val="none"/>
        </w:rPr>
        <w:t>Appréciation générale</w:t>
      </w:r>
    </w:p>
    <w:p w14:paraId="4062784E" w14:textId="77777777" w:rsidR="000C3848" w:rsidRPr="000C3848" w:rsidRDefault="000C3848" w:rsidP="000C3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Ces résultats démontrent la volonté de </w:t>
      </w:r>
      <w:r w:rsidRPr="000C3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IHBI</w:t>
      </w: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 xml:space="preserve"> de placer la réussite des étudiants au cœur de son projet pédagogique. Ils confirment également l’importance accordée à la qualité des enseignements, au suivi de proximité, à l’assiduité, aux travaux pratiques, aux stages et à la professionnalisation de la formation.</w:t>
      </w:r>
    </w:p>
    <w:p w14:paraId="1CAE20C1" w14:textId="77777777" w:rsidR="000C3848" w:rsidRPr="000C3848" w:rsidRDefault="000C3848" w:rsidP="000C3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C3848"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  <w:t>À travers ces performances, IHBI affirme sa position d’établissement engagé dans la formation de techniciens supérieurs compétents, disciplinés et capables de répondre aux exigences du marché de l’emploi.</w:t>
      </w:r>
    </w:p>
    <w:p w14:paraId="5F2B4C7A" w14:textId="77777777" w:rsidR="000C3848" w:rsidRPr="000C3848" w:rsidRDefault="000C3848" w:rsidP="000C3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CI"/>
          <w14:ligatures w14:val="none"/>
        </w:rPr>
      </w:pPr>
      <w:r w:rsidRPr="000C38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CI"/>
          <w14:ligatures w14:val="none"/>
        </w:rPr>
        <w:t>IHBI, le pôle de la valeur absolue.</w:t>
      </w:r>
    </w:p>
    <w:sectPr w:rsidR="000C3848" w:rsidRPr="000C3848" w:rsidSect="008B793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9783A"/>
    <w:multiLevelType w:val="multilevel"/>
    <w:tmpl w:val="4F109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F52423"/>
    <w:multiLevelType w:val="multilevel"/>
    <w:tmpl w:val="1F82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0199330">
    <w:abstractNumId w:val="0"/>
  </w:num>
  <w:num w:numId="2" w16cid:durableId="12327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848"/>
    <w:rsid w:val="000C3848"/>
    <w:rsid w:val="00277C65"/>
    <w:rsid w:val="002A69E4"/>
    <w:rsid w:val="0062439C"/>
    <w:rsid w:val="00694A92"/>
    <w:rsid w:val="006C6729"/>
    <w:rsid w:val="008B4B78"/>
    <w:rsid w:val="008B7938"/>
    <w:rsid w:val="00C21C9B"/>
    <w:rsid w:val="00CB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2C8A6"/>
  <w15:chartTrackingRefBased/>
  <w15:docId w15:val="{C9416452-A624-4899-97ED-0FA8E8984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C3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C3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C38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C3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C38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C3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C3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C3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C3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C38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C38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C38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C384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C384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C384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C384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C384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C384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C3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C3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C3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C3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C3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C384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C384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C384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C38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C384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C38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2488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11</vt:i4>
      </vt:variant>
    </vt:vector>
  </HeadingPairs>
  <TitlesOfParts>
    <vt:vector size="12" baseType="lpstr">
      <vt:lpstr/>
      <vt:lpstr>IHBI — ÉVOLUTION DES TAUX DE RÉUSSITE AU BTS</vt:lpstr>
      <vt:lpstr>    Période académique 2006-2007 à 2024-2025</vt:lpstr>
      <vt:lpstr>    Tableau comparatif des taux de réussite au BTS</vt:lpstr>
      <vt:lpstr>    Analyse synthétique</vt:lpstr>
      <vt:lpstr>    Appréciation générale</vt:lpstr>
      <vt:lpstr>IHBI : DES PERFORMANCES RÉGULIÈREMENT AU-DESSUS DE LA MOYENNE NATIONALE AU BTS</vt:lpstr>
      <vt:lpstr>    Évolution des taux de réussite de 2006-2007 à 2024-2025</vt:lpstr>
      <vt:lpstr>    Résultats comparatifs au BTS</vt:lpstr>
      <vt:lpstr>    Ce que révèlent ces résultats</vt:lpstr>
      <vt:lpstr>    Notre engagement pour la réussite</vt:lpstr>
      <vt:lpstr>    Une dynamique de performance à consolider</vt:lpstr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YAO</dc:creator>
  <cp:keywords/>
  <dc:description/>
  <cp:lastModifiedBy>JAMES YAO</cp:lastModifiedBy>
  <cp:revision>3</cp:revision>
  <dcterms:created xsi:type="dcterms:W3CDTF">2026-07-08T18:16:00Z</dcterms:created>
  <dcterms:modified xsi:type="dcterms:W3CDTF">2026-07-08T18:16:00Z</dcterms:modified>
</cp:coreProperties>
</file>